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7D25E">
      <w:pPr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u w:val="single"/>
          <w:lang w:val="en-IN"/>
        </w:rPr>
      </w:pPr>
      <w:bookmarkStart w:id="1" w:name="_GoBack"/>
      <w:r>
        <w:rPr>
          <w:rFonts w:hint="default" w:ascii="Times New Roman" w:hAnsi="Times New Roman" w:cs="Times New Roman"/>
          <w:b/>
          <w:color w:val="auto"/>
          <w:sz w:val="28"/>
          <w:szCs w:val="28"/>
          <w:u w:val="single"/>
          <w:lang w:val="en-IN"/>
        </w:rPr>
        <w:t>Physical Progress Report of CFLD Kharif Oilseed Programme-2024</w:t>
      </w:r>
    </w:p>
    <w:bookmarkEnd w:id="1"/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6971"/>
      </w:tblGrid>
      <w:tr w14:paraId="4D5E1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6A0911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>Name of KVK</w:t>
            </w:r>
          </w:p>
        </w:tc>
        <w:tc>
          <w:tcPr>
            <w:tcW w:w="36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EA3E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 KVK,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/>
              </w:rPr>
              <w:t xml:space="preserve"> Boudh</w:t>
            </w:r>
          </w:p>
        </w:tc>
      </w:tr>
      <w:tr w14:paraId="06921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2DF605B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>Crop and Variety</w:t>
            </w:r>
          </w:p>
        </w:tc>
        <w:tc>
          <w:tcPr>
            <w:tcW w:w="3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46F0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 S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/>
              </w:rPr>
              <w:t>esame  var. Suprava (2018)</w:t>
            </w:r>
          </w:p>
        </w:tc>
      </w:tr>
      <w:tr w14:paraId="6C199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2EBD2ED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IN"/>
              </w:rPr>
              <w:t>Nos. Of demonstration conducted</w:t>
            </w:r>
          </w:p>
        </w:tc>
        <w:tc>
          <w:tcPr>
            <w:tcW w:w="3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6315DF">
            <w:pPr>
              <w:spacing w:after="0" w:line="240" w:lineRule="auto"/>
              <w:ind w:firstLine="110" w:firstLineChars="5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IN"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IN" w:eastAsia="en-US"/>
              </w:rPr>
              <w:t>100 nos.</w:t>
            </w:r>
          </w:p>
        </w:tc>
      </w:tr>
      <w:tr w14:paraId="4C319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02F3655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IN"/>
              </w:rPr>
              <w:t>Nos. Of farmers</w:t>
            </w:r>
          </w:p>
        </w:tc>
        <w:tc>
          <w:tcPr>
            <w:tcW w:w="3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7CC0E8">
            <w:pPr>
              <w:spacing w:after="0" w:line="240" w:lineRule="auto"/>
              <w:ind w:firstLine="110" w:firstLineChars="5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IN"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IN" w:eastAsia="en-US"/>
              </w:rPr>
              <w:t>100 nos.</w:t>
            </w:r>
          </w:p>
        </w:tc>
      </w:tr>
      <w:tr w14:paraId="40EF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48B585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IN"/>
              </w:rPr>
              <w:t>No. Of cluster</w:t>
            </w:r>
          </w:p>
        </w:tc>
        <w:tc>
          <w:tcPr>
            <w:tcW w:w="3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1A45F">
            <w:pPr>
              <w:spacing w:after="0" w:line="240" w:lineRule="auto"/>
              <w:ind w:firstLine="110" w:firstLineChars="5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IN"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IN" w:eastAsia="en-US"/>
              </w:rPr>
              <w:t>3 nos. (Brahmanipali of Boudh block, Khwandahata, and Tavapadar villages of Harbhanga block).</w:t>
            </w:r>
          </w:p>
          <w:p w14:paraId="379E3951">
            <w:pPr>
              <w:spacing w:after="0" w:line="240" w:lineRule="auto"/>
              <w:ind w:firstLine="110" w:firstLineChars="5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IN" w:eastAsia="en-US"/>
              </w:rPr>
            </w:pPr>
          </w:p>
        </w:tc>
      </w:tr>
      <w:tr w14:paraId="34A73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2CBC79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Background  information about farmer field </w:t>
            </w:r>
          </w:p>
        </w:tc>
        <w:tc>
          <w:tcPr>
            <w:tcW w:w="3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86EFB7">
            <w:pPr>
              <w:spacing w:after="0" w:line="240" w:lineRule="auto"/>
              <w:ind w:left="110" w:hanging="110" w:hangingChars="50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/>
              </w:rPr>
              <w:t xml:space="preserve"> Previously  the farmer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 mainly cultivating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  <w:lang w:val="en-IN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ice in kharif season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  <w:lang w:val="en-IN"/>
              </w:rPr>
              <w:t xml:space="preserve"> and  after kharif land was fallow till next Kharif season.Soil testing has been done for better knowing of nutrient level in soil which help him for better crop growth.</w:t>
            </w:r>
          </w:p>
          <w:p w14:paraId="261B9390">
            <w:pPr>
              <w:spacing w:after="0" w:line="240" w:lineRule="auto"/>
              <w:ind w:left="110" w:hanging="110" w:hangingChars="50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  <w:lang w:val="en-IN" w:eastAsia="en-US"/>
              </w:rPr>
            </w:pPr>
          </w:p>
        </w:tc>
      </w:tr>
      <w:tr w14:paraId="281CD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0D06E7F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>Details of technology demonstrated</w:t>
            </w:r>
          </w:p>
        </w:tc>
        <w:tc>
          <w:tcPr>
            <w:tcW w:w="3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338F25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360"/>
                <w:tab w:val="clear" w:pos="425"/>
              </w:tabs>
              <w:spacing w:before="0" w:after="0" w:line="240" w:lineRule="auto"/>
              <w:ind w:left="425" w:leftChars="0" w:right="0" w:hanging="425" w:firstLineChars="0"/>
              <w:jc w:val="left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Providing new high yielding verity of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esame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Var. Suprava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)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along with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package of practice.</w:t>
            </w:r>
          </w:p>
          <w:p w14:paraId="20752B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360"/>
                <w:tab w:val="clear" w:pos="425"/>
              </w:tabs>
              <w:spacing w:before="0" w:after="0" w:line="240" w:lineRule="auto"/>
              <w:ind w:left="425" w:leftChars="0" w:right="0" w:hanging="425" w:firstLineChars="0"/>
              <w:jc w:val="left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lang w:val="en-IN"/>
              </w:rPr>
              <w:t>Proper weed management practices with post emergence herbicide like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Quizal fop ethayl 10SL @ 800 ml/ha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.</w:t>
            </w:r>
          </w:p>
          <w:p w14:paraId="7C7A0E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425" w:leftChars="0" w:right="0" w:hanging="425" w:firstLineChars="0"/>
              <w:jc w:val="left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lang w:val="en-IN"/>
              </w:rPr>
              <w:t xml:space="preserve">Proper seed treatment was followed by use of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PSB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(20g/kg of seed)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during sowing.</w:t>
            </w:r>
          </w:p>
          <w:p w14:paraId="5F808A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425" w:leftChars="0" w:right="0" w:hanging="425" w:firstLineChars="0"/>
              <w:jc w:val="left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lang w:val="en-IN"/>
              </w:rPr>
              <w:t xml:space="preserve">Application of plant protection chemical  like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Chloropyriphos (20EC)@ 1L/ha at 25 DAS </w:t>
            </w:r>
            <w:bookmarkStart w:id="0" w:name="_gjdgxs" w:colFirst="0" w:colLast="0"/>
            <w:bookmarkEnd w:id="0"/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to manage lepidopteran pests.</w:t>
            </w:r>
          </w:p>
          <w:p w14:paraId="1FC7AF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425" w:leftChars="0" w:right="0" w:hanging="425" w:firstLineChars="0"/>
              <w:jc w:val="left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Application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of Sulphur @ 5gm/lit at 21 DAS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.</w:t>
            </w:r>
          </w:p>
          <w:p w14:paraId="455F59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425" w:leftChars="0" w:right="0" w:hanging="425" w:firstLineChars="0"/>
              <w:jc w:val="left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Application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of Water soluble fertilizer,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like N,P, K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and boron at pre flowering stage and flowering stage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.</w:t>
            </w:r>
          </w:p>
          <w:p w14:paraId="6CE119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425" w:leftChars="0" w:right="0" w:hanging="425" w:firstLineChars="0"/>
              <w:jc w:val="left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Application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of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Flubendiamide and  Thiacloprid@ 0.3 ml/ lit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followed by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neem based pesticide @ 5 ml/ lit to control pod borer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and Cercospora leaf spot.</w:t>
            </w:r>
          </w:p>
          <w:p w14:paraId="159A83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360"/>
                <w:tab w:val="clear" w:pos="425"/>
              </w:tabs>
              <w:spacing w:before="0" w:after="0" w:line="240" w:lineRule="auto"/>
              <w:ind w:left="425" w:leftChars="0" w:right="0" w:hanging="425" w:firstLineChars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</w:rPr>
              <w:t>Inundative releases of Trichogramma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  <w:lang w:val="en-I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</w:rPr>
              <w:t>chilonis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  <w:lang w:val="en-IN"/>
              </w:rPr>
              <w:t xml:space="preserve"> @ 20DAS,30DAS,&amp; 45 DAS  to manage pod borer, leaf webber.</w:t>
            </w:r>
          </w:p>
        </w:tc>
      </w:tr>
      <w:tr w14:paraId="4BCDB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4DA2DB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Success Point </w:t>
            </w:r>
          </w:p>
        </w:tc>
        <w:tc>
          <w:tcPr>
            <w:tcW w:w="3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0000001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65"/>
                <w:tab w:val="clear" w:pos="425"/>
              </w:tabs>
              <w:spacing w:before="0" w:after="0" w:line="240" w:lineRule="auto"/>
              <w:ind w:left="425" w:leftChars="0" w:right="0" w:rightChars="0" w:hanging="425" w:firstLine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Better weed management practices by applying suitable herbicide as post emergence.</w:t>
            </w:r>
          </w:p>
          <w:p w14:paraId="0000001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65"/>
                <w:tab w:val="clear" w:pos="425"/>
              </w:tabs>
              <w:spacing w:before="0" w:after="0" w:line="240" w:lineRule="auto"/>
              <w:ind w:left="425" w:leftChars="0" w:right="0" w:rightChars="0" w:hanging="425" w:firstLineChars="0"/>
              <w:jc w:val="both"/>
              <w:rPr>
                <w:rFonts w:hint="default" w:ascii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Application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of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macronutrient like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Sulphur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to enhance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the oil content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percentage.</w:t>
            </w:r>
          </w:p>
          <w:p w14:paraId="06AC9F6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65"/>
                <w:tab w:val="clear" w:pos="425"/>
              </w:tabs>
              <w:spacing w:before="0" w:after="0" w:line="240" w:lineRule="auto"/>
              <w:ind w:left="425" w:leftChars="0" w:right="0" w:rightChars="0" w:hanging="425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Application of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Boron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before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flowering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 and flowering stage to increase  </w:t>
            </w:r>
          </w:p>
          <w:p w14:paraId="75A7543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65"/>
                <w:tab w:val="clear" w:pos="425"/>
              </w:tabs>
              <w:spacing w:before="0" w:after="0" w:line="240" w:lineRule="auto"/>
              <w:ind w:left="425" w:leftChars="0" w:right="0" w:rightChars="0" w:hanging="425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>the number of siliqua/plant.</w:t>
            </w:r>
          </w:p>
          <w:p w14:paraId="12966DD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clear" w:pos="425"/>
              </w:tabs>
              <w:spacing w:before="0" w:after="0" w:line="240" w:lineRule="auto"/>
              <w:ind w:left="425" w:leftChars="0" w:right="0" w:rightChars="0" w:hanging="425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Pod borer incidence reduced by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83% by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application of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Flubendiamide and  Thiacloprid@ 0.3 ml/ lit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followed by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neem based pesticide @ 5 ml/ lit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during vegetative and flowering stage.</w:t>
            </w:r>
          </w:p>
          <w:p w14:paraId="422F679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Chars="0" w:right="0" w:right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32BF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2D4E2D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Farmer  Feedback </w:t>
            </w:r>
          </w:p>
        </w:tc>
        <w:tc>
          <w:tcPr>
            <w:tcW w:w="3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2B3E616A">
            <w:pPr>
              <w:spacing w:after="0" w:line="240" w:lineRule="auto"/>
              <w:ind w:left="200" w:hanging="220" w:hangingChars="100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/>
              </w:rPr>
              <w:t xml:space="preserve"> Farmer are s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atisfied with the performance of the new verity and by adopting new technologies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  <w:lang w:val="en-IN"/>
              </w:rPr>
              <w:t xml:space="preserve"> because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>profit was doubled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  <w:lang w:val="en-IN"/>
              </w:rPr>
              <w:t>.</w:t>
            </w:r>
          </w:p>
          <w:p w14:paraId="342B47C1">
            <w:pPr>
              <w:spacing w:after="0" w:line="240" w:lineRule="auto"/>
              <w:ind w:left="200" w:hanging="220" w:hangingChars="100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  <w:lang w:val="en-IN"/>
              </w:rPr>
            </w:pPr>
          </w:p>
        </w:tc>
      </w:tr>
      <w:tr w14:paraId="68C9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01C5021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>Outcome  Yield (q/ha)</w:t>
            </w:r>
          </w:p>
          <w:p w14:paraId="5D2C415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Demonstration </w:t>
            </w:r>
          </w:p>
        </w:tc>
        <w:tc>
          <w:tcPr>
            <w:tcW w:w="3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C9E4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  <w:p w14:paraId="6E9E83C9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/>
              </w:rPr>
              <w:t>5.5q/ha</w:t>
            </w:r>
          </w:p>
        </w:tc>
      </w:tr>
      <w:tr w14:paraId="4D842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15B5AC6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Potential yield of variety/technology </w:t>
            </w:r>
          </w:p>
        </w:tc>
        <w:tc>
          <w:tcPr>
            <w:tcW w:w="3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3C8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/>
              </w:rPr>
              <w:t>9.0 q/ha</w:t>
            </w:r>
          </w:p>
        </w:tc>
      </w:tr>
      <w:tr w14:paraId="55088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5CC58C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  District average (Previous year)</w:t>
            </w:r>
          </w:p>
        </w:tc>
        <w:tc>
          <w:tcPr>
            <w:tcW w:w="3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BCCAE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</w:rPr>
              <w:t>4.12  q/ha</w:t>
            </w:r>
          </w:p>
        </w:tc>
      </w:tr>
      <w:tr w14:paraId="104AB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1BAD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 State average </w:t>
            </w:r>
          </w:p>
          <w:p w14:paraId="68675AD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(Previous year)</w:t>
            </w:r>
          </w:p>
        </w:tc>
        <w:tc>
          <w:tcPr>
            <w:tcW w:w="3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C387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  <w:lang w:val="en-IN"/>
              </w:rPr>
              <w:t>3.98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rtl w:val="0"/>
              </w:rPr>
              <w:t xml:space="preserve"> q/ha</w:t>
            </w:r>
          </w:p>
        </w:tc>
      </w:tr>
      <w:tr w14:paraId="586B1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 w14:paraId="14FE3C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CDFB9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14:paraId="2AFA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 w14:paraId="2CBC51E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D076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14:paraId="27AB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 w14:paraId="16E200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2A7FD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</w:tbl>
    <w:p w14:paraId="259AF825">
      <w:pPr>
        <w:spacing w:after="0"/>
        <w:jc w:val="both"/>
        <w:rPr>
          <w:rFonts w:hint="default" w:ascii="Times New Roman" w:hAnsi="Times New Roman" w:cs="Times New Roman"/>
          <w:sz w:val="12"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P</w:t>
      </w:r>
      <w:r>
        <w:rPr>
          <w:rFonts w:hint="default" w:ascii="Times New Roman" w:hAnsi="Times New Roman" w:cs="Times New Roman"/>
          <w:b/>
          <w:bCs/>
        </w:rPr>
        <w:t>erfo</w:t>
      </w:r>
      <w:r>
        <w:rPr>
          <w:rFonts w:hint="default" w:ascii="Times New Roman" w:hAnsi="Times New Roman" w:cs="Times New Roman"/>
          <w:b/>
        </w:rPr>
        <w:t xml:space="preserve">rmance of technology </w:t>
      </w:r>
      <w:r>
        <w:rPr>
          <w:rFonts w:hint="default" w:ascii="Times New Roman" w:hAnsi="Times New Roman" w:cs="Times New Roman"/>
          <w:b/>
          <w:lang w:val="en-IN"/>
        </w:rPr>
        <w:t>: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1410"/>
        <w:gridCol w:w="1506"/>
        <w:gridCol w:w="1543"/>
        <w:gridCol w:w="1619"/>
        <w:gridCol w:w="1179"/>
      </w:tblGrid>
      <w:tr w14:paraId="659D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0" w:type="pct"/>
            <w:shd w:val="clear" w:color="auto" w:fill="auto"/>
          </w:tcPr>
          <w:p w14:paraId="452E69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  <w:t>Specific Technology</w:t>
            </w:r>
          </w:p>
        </w:tc>
        <w:tc>
          <w:tcPr>
            <w:tcW w:w="736" w:type="pct"/>
            <w:shd w:val="clear" w:color="auto" w:fill="auto"/>
          </w:tcPr>
          <w:p w14:paraId="20A366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  <w:t>Yield (q/ha)</w:t>
            </w:r>
          </w:p>
        </w:tc>
        <w:tc>
          <w:tcPr>
            <w:tcW w:w="786" w:type="pct"/>
            <w:shd w:val="clear" w:color="auto" w:fill="auto"/>
          </w:tcPr>
          <w:p w14:paraId="37945A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  <w:t>Gross cost (Rs/ha)</w:t>
            </w:r>
          </w:p>
        </w:tc>
        <w:tc>
          <w:tcPr>
            <w:tcW w:w="805" w:type="pct"/>
            <w:shd w:val="clear" w:color="auto" w:fill="auto"/>
          </w:tcPr>
          <w:p w14:paraId="516519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  <w:t>Gross income (Rs/ha)</w:t>
            </w:r>
          </w:p>
        </w:tc>
        <w:tc>
          <w:tcPr>
            <w:tcW w:w="845" w:type="pct"/>
            <w:shd w:val="clear" w:color="auto" w:fill="auto"/>
          </w:tcPr>
          <w:p w14:paraId="2E9781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  <w:t>Net income</w:t>
            </w:r>
          </w:p>
          <w:p w14:paraId="054762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  <w:t>(Rs/ha</w:t>
            </w:r>
          </w:p>
        </w:tc>
        <w:tc>
          <w:tcPr>
            <w:tcW w:w="615" w:type="pct"/>
            <w:shd w:val="clear" w:color="auto" w:fill="auto"/>
          </w:tcPr>
          <w:p w14:paraId="1EA61C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</w:rPr>
              <w:t>B:C ratio</w:t>
            </w:r>
          </w:p>
        </w:tc>
      </w:tr>
      <w:tr w14:paraId="54D1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0" w:type="pct"/>
            <w:shd w:val="clear" w:color="auto" w:fill="auto"/>
          </w:tcPr>
          <w:p w14:paraId="6264B6D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</w:rPr>
              <w:t xml:space="preserve">Farmer practices  </w:t>
            </w:r>
          </w:p>
        </w:tc>
        <w:tc>
          <w:tcPr>
            <w:tcW w:w="736" w:type="pct"/>
            <w:shd w:val="clear" w:color="auto" w:fill="auto"/>
          </w:tcPr>
          <w:p w14:paraId="4CC82E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3.9</w:t>
            </w:r>
          </w:p>
        </w:tc>
        <w:tc>
          <w:tcPr>
            <w:tcW w:w="786" w:type="pct"/>
            <w:shd w:val="clear" w:color="auto" w:fill="auto"/>
          </w:tcPr>
          <w:p w14:paraId="36A051C9">
            <w:pPr>
              <w:spacing w:after="0" w:line="240" w:lineRule="auto"/>
              <w:ind w:firstLine="110" w:firstLineChars="50"/>
              <w:jc w:val="both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Rs.  21,800/-</w:t>
            </w:r>
          </w:p>
        </w:tc>
        <w:tc>
          <w:tcPr>
            <w:tcW w:w="805" w:type="pct"/>
            <w:shd w:val="clear" w:color="auto" w:fill="auto"/>
          </w:tcPr>
          <w:p w14:paraId="3F6E52E7">
            <w:pPr>
              <w:spacing w:after="0" w:line="240" w:lineRule="auto"/>
              <w:ind w:firstLine="110" w:firstLineChars="50"/>
              <w:jc w:val="both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 xml:space="preserve">Rs. 36,141 /-      </w:t>
            </w:r>
          </w:p>
        </w:tc>
        <w:tc>
          <w:tcPr>
            <w:tcW w:w="845" w:type="pct"/>
            <w:shd w:val="clear" w:color="auto" w:fill="auto"/>
          </w:tcPr>
          <w:p w14:paraId="066F3B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Rs.14, 341  /-</w:t>
            </w:r>
          </w:p>
        </w:tc>
        <w:tc>
          <w:tcPr>
            <w:tcW w:w="615" w:type="pct"/>
            <w:shd w:val="clear" w:color="auto" w:fill="auto"/>
          </w:tcPr>
          <w:p w14:paraId="74434C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1.66</w:t>
            </w:r>
          </w:p>
        </w:tc>
      </w:tr>
      <w:tr w14:paraId="2790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0" w:type="pct"/>
            <w:shd w:val="clear" w:color="auto" w:fill="auto"/>
          </w:tcPr>
          <w:p w14:paraId="10FC230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</w:rPr>
              <w:t xml:space="preserve">Demonstration </w:t>
            </w:r>
          </w:p>
        </w:tc>
        <w:tc>
          <w:tcPr>
            <w:tcW w:w="736" w:type="pct"/>
            <w:shd w:val="clear" w:color="auto" w:fill="auto"/>
          </w:tcPr>
          <w:p w14:paraId="33D892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5.5</w:t>
            </w:r>
          </w:p>
        </w:tc>
        <w:tc>
          <w:tcPr>
            <w:tcW w:w="786" w:type="pct"/>
            <w:shd w:val="clear" w:color="auto" w:fill="auto"/>
          </w:tcPr>
          <w:p w14:paraId="166E3D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 xml:space="preserve">  Rs.</w:t>
            </w:r>
            <w:r>
              <w:rPr>
                <w:rFonts w:hint="default" w:ascii="Times New Roman" w:hAnsi="Times New Roman" w:eastAsia="Times New Roman" w:cs="Times New Roman"/>
                <w:color w:val="000000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24,900 /-</w:t>
            </w:r>
          </w:p>
        </w:tc>
        <w:tc>
          <w:tcPr>
            <w:tcW w:w="805" w:type="pct"/>
            <w:shd w:val="clear" w:color="auto" w:fill="auto"/>
          </w:tcPr>
          <w:p w14:paraId="1E3BD7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Rs. 50,968</w:t>
            </w:r>
            <w:r>
              <w:rPr>
                <w:rFonts w:hint="default" w:ascii="Times New Roman" w:hAnsi="Times New Roman" w:eastAsia="Times New Roman" w:cs="Times New Roman"/>
                <w:color w:val="000000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/-</w:t>
            </w:r>
          </w:p>
        </w:tc>
        <w:tc>
          <w:tcPr>
            <w:tcW w:w="845" w:type="pct"/>
            <w:shd w:val="clear" w:color="auto" w:fill="auto"/>
          </w:tcPr>
          <w:p w14:paraId="78B8304D">
            <w:pPr>
              <w:spacing w:after="0" w:line="240" w:lineRule="auto"/>
              <w:ind w:firstLine="110" w:firstLineChars="50"/>
              <w:jc w:val="both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Rs.</w:t>
            </w:r>
            <w:r>
              <w:rPr>
                <w:rFonts w:hint="default" w:ascii="Times New Roman" w:hAnsi="Times New Roman" w:eastAsia="Times New Roman" w:cs="Times New Roman"/>
                <w:color w:val="000000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26,068/-</w:t>
            </w:r>
          </w:p>
        </w:tc>
        <w:tc>
          <w:tcPr>
            <w:tcW w:w="615" w:type="pct"/>
            <w:shd w:val="clear" w:color="auto" w:fill="auto"/>
          </w:tcPr>
          <w:p w14:paraId="4D21DF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2.05</w:t>
            </w:r>
          </w:p>
        </w:tc>
      </w:tr>
      <w:tr w14:paraId="4B3C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0" w:type="pct"/>
            <w:shd w:val="clear" w:color="auto" w:fill="auto"/>
          </w:tcPr>
          <w:p w14:paraId="74B5EF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</w:rPr>
              <w:t xml:space="preserve">% Increase </w:t>
            </w:r>
          </w:p>
        </w:tc>
        <w:tc>
          <w:tcPr>
            <w:tcW w:w="736" w:type="pct"/>
            <w:shd w:val="clear" w:color="auto" w:fill="auto"/>
          </w:tcPr>
          <w:p w14:paraId="02B382B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 xml:space="preserve">         41 %</w:t>
            </w:r>
          </w:p>
        </w:tc>
        <w:tc>
          <w:tcPr>
            <w:tcW w:w="786" w:type="pct"/>
            <w:shd w:val="clear" w:color="auto" w:fill="auto"/>
          </w:tcPr>
          <w:p w14:paraId="3BA94F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</w:rPr>
              <w:t> </w:t>
            </w:r>
          </w:p>
        </w:tc>
        <w:tc>
          <w:tcPr>
            <w:tcW w:w="805" w:type="pct"/>
            <w:shd w:val="clear" w:color="auto" w:fill="auto"/>
          </w:tcPr>
          <w:p w14:paraId="6961E94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</w:rPr>
              <w:t> </w:t>
            </w:r>
          </w:p>
        </w:tc>
        <w:tc>
          <w:tcPr>
            <w:tcW w:w="845" w:type="pct"/>
            <w:shd w:val="clear" w:color="auto" w:fill="auto"/>
          </w:tcPr>
          <w:p w14:paraId="6C4016D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</w:rPr>
              <w:t> </w:t>
            </w:r>
          </w:p>
        </w:tc>
        <w:tc>
          <w:tcPr>
            <w:tcW w:w="615" w:type="pct"/>
            <w:shd w:val="clear" w:color="auto" w:fill="auto"/>
          </w:tcPr>
          <w:p w14:paraId="71B86D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</w:rPr>
              <w:t> </w:t>
            </w:r>
          </w:p>
        </w:tc>
      </w:tr>
      <w:tr w14:paraId="0745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0" w:type="pct"/>
            <w:shd w:val="clear" w:color="auto" w:fill="auto"/>
          </w:tcPr>
          <w:p w14:paraId="5CE90CA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Yield gap with potential yield in %</w:t>
            </w:r>
          </w:p>
        </w:tc>
        <w:tc>
          <w:tcPr>
            <w:tcW w:w="736" w:type="pct"/>
            <w:shd w:val="clear" w:color="auto" w:fill="auto"/>
          </w:tcPr>
          <w:p w14:paraId="4D5C45B0">
            <w:pPr>
              <w:spacing w:after="0" w:line="240" w:lineRule="auto"/>
              <w:ind w:firstLine="440" w:firstLineChars="200"/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IN"/>
              </w:rPr>
              <w:t>63.6%</w:t>
            </w:r>
          </w:p>
        </w:tc>
        <w:tc>
          <w:tcPr>
            <w:tcW w:w="786" w:type="pct"/>
            <w:shd w:val="clear" w:color="auto" w:fill="auto"/>
          </w:tcPr>
          <w:p w14:paraId="223840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05" w:type="pct"/>
            <w:shd w:val="clear" w:color="auto" w:fill="auto"/>
          </w:tcPr>
          <w:p w14:paraId="26DB6E3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845" w:type="pct"/>
            <w:shd w:val="clear" w:color="auto" w:fill="auto"/>
          </w:tcPr>
          <w:p w14:paraId="4071552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615" w:type="pct"/>
            <w:shd w:val="clear" w:color="auto" w:fill="auto"/>
          </w:tcPr>
          <w:p w14:paraId="1E7FA5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</w:rPr>
            </w:pPr>
          </w:p>
        </w:tc>
      </w:tr>
    </w:tbl>
    <w:p w14:paraId="2F1F4609">
      <w:pPr>
        <w:rPr>
          <w:rFonts w:ascii="Times New Roman" w:hAnsi="Times New Roman" w:cs="Times New Roman"/>
          <w:b/>
        </w:rPr>
      </w:pPr>
    </w:p>
    <w:p w14:paraId="0BEDCC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Good Quality Photographs: </w:t>
      </w:r>
    </w:p>
    <w:p w14:paraId="286F5830">
      <w:pPr>
        <w:rPr>
          <w:rFonts w:hint="default" w:ascii="Times New Roman" w:hAnsi="Times New Roman" w:cs="Times New Roman"/>
          <w:b/>
          <w:lang w:val="en-IN"/>
        </w:rPr>
      </w:pPr>
      <w:r>
        <w:drawing>
          <wp:inline distT="0" distB="0" distL="114300" distR="114300">
            <wp:extent cx="2159000" cy="1318260"/>
            <wp:effectExtent l="0" t="0" r="0" b="2540"/>
            <wp:docPr id="3" name="Picture 2" descr="WhatsApp Image 2024-10-31 at 15.30.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WhatsApp Image 2024-10-31 at 15.30.4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IN"/>
        </w:rPr>
        <w:t xml:space="preserve"> </w:t>
      </w:r>
      <w:r>
        <w:drawing>
          <wp:inline distT="0" distB="0" distL="114300" distR="114300">
            <wp:extent cx="1762760" cy="1306195"/>
            <wp:effectExtent l="0" t="0" r="2540" b="1905"/>
            <wp:docPr id="4" name="Picture 3" descr="WhatsApp Image 2024-10-31 at 15.28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WhatsApp Image 2024-10-31 at 15.28.2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IN"/>
        </w:rPr>
        <w:t xml:space="preserve"> </w:t>
      </w:r>
      <w:r>
        <w:drawing>
          <wp:inline distT="0" distB="0" distL="114300" distR="114300">
            <wp:extent cx="1810385" cy="1310005"/>
            <wp:effectExtent l="0" t="0" r="5715" b="10795"/>
            <wp:docPr id="7" name="Picture 6" descr="WhatsApp Image 2024-10-31 at 15.32.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WhatsApp Image 2024-10-31 at 15.32.4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2772A">
      <w:pPr>
        <w:rPr>
          <w:rFonts w:hint="default"/>
          <w:lang w:val="en-IN"/>
        </w:rPr>
      </w:pPr>
      <w:r>
        <w:drawing>
          <wp:inline distT="0" distB="0" distL="114300" distR="114300">
            <wp:extent cx="2165350" cy="1228090"/>
            <wp:effectExtent l="0" t="0" r="6350" b="3810"/>
            <wp:docPr id="8" name="Picture 7" descr="WhatsApp Image 2024-10-31 at 15.34.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WhatsApp Image 2024-10-31 at 15.34.5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IN"/>
        </w:rPr>
        <w:t xml:space="preserve">  </w:t>
      </w:r>
      <w:r>
        <w:drawing>
          <wp:inline distT="0" distB="0" distL="114300" distR="114300">
            <wp:extent cx="1714500" cy="1236980"/>
            <wp:effectExtent l="0" t="0" r="0" b="7620"/>
            <wp:docPr id="9" name="Picture 8" descr="WhatsApp Image 2024-10-31 at 15.36.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WhatsApp Image 2024-10-31 at 15.36.5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IN"/>
        </w:rPr>
        <w:t xml:space="preserve"> </w:t>
      </w:r>
      <w:r>
        <w:rPr>
          <w:rFonts w:hint="default"/>
          <w:lang w:val="en-IN"/>
        </w:rPr>
        <w:drawing>
          <wp:inline distT="0" distB="0" distL="114300" distR="114300">
            <wp:extent cx="1809115" cy="1232535"/>
            <wp:effectExtent l="0" t="0" r="6985" b="12065"/>
            <wp:docPr id="1" name="Picture 1" descr="WhatsApp Image 2025-01-18 at 14.18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1-18 at 14.18.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29F90">
      <w:pPr>
        <w:rPr>
          <w:rFonts w:hint="default"/>
          <w:lang w:val="en-IN"/>
        </w:rPr>
      </w:pPr>
    </w:p>
    <w:p w14:paraId="52007861">
      <w:pPr>
        <w:rPr>
          <w:rFonts w:hint="default"/>
          <w:lang w:val="en-IN"/>
        </w:rPr>
      </w:pPr>
    </w:p>
    <w:p w14:paraId="4ED4827E">
      <w:pPr>
        <w:spacing w:after="0" w:afterAutospacing="0" w:line="240" w:lineRule="auto"/>
        <w:ind w:firstLine="7083" w:firstLineChars="2950"/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Sd/-</w:t>
      </w:r>
    </w:p>
    <w:p w14:paraId="7E7E6F27">
      <w:pPr>
        <w:spacing w:beforeAutospacing="0" w:after="0" w:afterAutospacing="0" w:line="240" w:lineRule="auto"/>
        <w:ind w:firstLine="6363" w:firstLineChars="2650"/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Sr. Scientist &amp; Head</w:t>
      </w:r>
    </w:p>
    <w:p w14:paraId="78153244">
      <w:pPr>
        <w:spacing w:beforeAutospacing="0" w:line="240" w:lineRule="auto"/>
        <w:ind w:firstLine="6823" w:firstLineChars="310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KVK, Boudh</w:t>
      </w:r>
    </w:p>
    <w:p w14:paraId="6DC35351">
      <w:pPr>
        <w:rPr>
          <w:rFonts w:hint="default"/>
          <w:lang w:val="en-IN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96AF0"/>
    <w:multiLevelType w:val="singleLevel"/>
    <w:tmpl w:val="9FD96AF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C8F14DEB"/>
    <w:multiLevelType w:val="singleLevel"/>
    <w:tmpl w:val="C8F14DE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20168"/>
    <w:rsid w:val="000539B8"/>
    <w:rsid w:val="003C14E5"/>
    <w:rsid w:val="007361D3"/>
    <w:rsid w:val="00AE4094"/>
    <w:rsid w:val="00B61FCC"/>
    <w:rsid w:val="00B77E23"/>
    <w:rsid w:val="00D20168"/>
    <w:rsid w:val="00D93DD4"/>
    <w:rsid w:val="00E86E62"/>
    <w:rsid w:val="29773EE5"/>
    <w:rsid w:val="2CEC2ADE"/>
    <w:rsid w:val="39AF10A6"/>
    <w:rsid w:val="45655C00"/>
    <w:rsid w:val="67E15FD5"/>
    <w:rsid w:val="750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link w:val="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rPr>
      <w:rFonts w:eastAsiaTheme="minorEastAsia"/>
      <w:lang w:bidi="hi-I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6">
    <w:name w:val="_Style 10"/>
    <w:basedOn w:val="7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Table Normal1"/>
    <w:uiPriority w:val="0"/>
  </w:style>
  <w:style w:type="character" w:customStyle="1" w:styleId="8">
    <w:name w:val="Heading 4 Char"/>
    <w:link w:val="2"/>
    <w:uiPriority w:val="0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645</Characters>
  <Lines>5</Lines>
  <Paragraphs>1</Paragraphs>
  <TotalTime>41</TotalTime>
  <ScaleCrop>false</ScaleCrop>
  <LinksUpToDate>false</LinksUpToDate>
  <CharactersWithSpaces>756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2021-07-08T11:14:00Z</dcterms:created>
  <dc:creator>hp</dc:creator>
  <cp:lastModifiedBy>Mayuri Sing</cp:lastModifiedBy>
  <dcterms:modified xsi:type="dcterms:W3CDTF">2025-03-17T10:26:48Z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C764D24F1C6343C092B86A1FA3B036CD_12</vt:lpwstr>
  </property>
</Properties>
</file>